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49" w:rsidRPr="008B68D0" w:rsidRDefault="000B2449" w:rsidP="000B2449">
      <w:pPr>
        <w:rPr>
          <w:rFonts w:ascii="华文楷体" w:eastAsia="华文楷体" w:hAnsi="华文楷体" w:cs="Times New Roman"/>
          <w:b/>
          <w:sz w:val="28"/>
          <w:szCs w:val="28"/>
        </w:rPr>
      </w:pPr>
      <w:bookmarkStart w:id="0" w:name="_GoBack"/>
      <w:bookmarkEnd w:id="0"/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附件2</w:t>
      </w:r>
    </w:p>
    <w:p w:rsidR="000B2449" w:rsidRPr="000D4BB7" w:rsidRDefault="000B2449" w:rsidP="000B2449">
      <w:pPr>
        <w:jc w:val="center"/>
        <w:rPr>
          <w:rFonts w:ascii="华文行楷" w:eastAsia="华文行楷"/>
          <w:b/>
          <w:sz w:val="30"/>
          <w:szCs w:val="30"/>
        </w:rPr>
      </w:pPr>
      <w:r w:rsidRPr="000D4BB7">
        <w:rPr>
          <w:rFonts w:ascii="华文行楷" w:eastAsia="华文行楷" w:hint="eastAsia"/>
          <w:b/>
          <w:sz w:val="30"/>
          <w:szCs w:val="30"/>
        </w:rPr>
        <w:t>西北工业大学网络教育学院</w:t>
      </w:r>
    </w:p>
    <w:p w:rsidR="000B2449" w:rsidRPr="008B68D0" w:rsidRDefault="000B2449" w:rsidP="000B2449">
      <w:pPr>
        <w:jc w:val="center"/>
        <w:rPr>
          <w:rFonts w:ascii="黑体" w:eastAsia="黑体" w:hAnsi="黑体"/>
          <w:b/>
          <w:sz w:val="28"/>
          <w:szCs w:val="28"/>
        </w:rPr>
      </w:pPr>
      <w:r w:rsidRPr="000D4BB7">
        <w:rPr>
          <w:rFonts w:ascii="黑体" w:eastAsia="黑体" w:hAnsi="黑体" w:hint="eastAsia"/>
          <w:b/>
          <w:sz w:val="28"/>
          <w:szCs w:val="28"/>
        </w:rPr>
        <w:t>特色专业课件技术</w:t>
      </w:r>
      <w:r>
        <w:rPr>
          <w:rFonts w:ascii="黑体" w:eastAsia="黑体" w:hAnsi="黑体" w:hint="eastAsia"/>
          <w:b/>
          <w:sz w:val="28"/>
          <w:szCs w:val="28"/>
        </w:rPr>
        <w:t>要求</w:t>
      </w:r>
    </w:p>
    <w:p w:rsidR="000B2449" w:rsidRPr="008B68D0" w:rsidRDefault="000B2449" w:rsidP="000B2449">
      <w:pPr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1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.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学习点播页面+高清课件视频模式</w:t>
      </w:r>
    </w:p>
    <w:p w:rsidR="000B2449" w:rsidRPr="008B68D0" w:rsidRDefault="000B2449" w:rsidP="000B2449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点播页面设计为章+知识点二级树形目录展现，页面包含课程导学页。导学页包括课程简介、学习方法及要求、教师信息、教材信息等课程相关信息。可将讲义加入网页增加学生学习资源。网页宽不超1065px，以便和学习平台融合不出现横向滚动条。</w:t>
      </w:r>
    </w:p>
    <w:p w:rsidR="000B2449" w:rsidRPr="008B68D0" w:rsidRDefault="000B2449" w:rsidP="000B2449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课件ppt条理清楚，知识点层次分明字体颜色对比强烈，背景素雅建议使用绿色系或蓝色系。标明学院LOGO。</w:t>
      </w:r>
    </w:p>
    <w:p w:rsidR="000B2449" w:rsidRPr="008B68D0" w:rsidRDefault="000B2449" w:rsidP="000B2449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视频基于知识点录制，每个知识点小节5-25分钟，知识点内容多时可分成多个小节。建议加入不大于5秒片头。</w:t>
      </w:r>
    </w:p>
    <w:p w:rsidR="000B2449" w:rsidRPr="008B68D0" w:rsidRDefault="000B2449" w:rsidP="000B2449">
      <w:pPr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2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.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视频要求</w:t>
      </w:r>
    </w:p>
    <w:p w:rsidR="000B2449" w:rsidRPr="008B68D0" w:rsidRDefault="000B2449" w:rsidP="000B2449">
      <w:pPr>
        <w:spacing w:line="500" w:lineRule="exact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 xml:space="preserve">   </w:t>
      </w:r>
      <w:r>
        <w:rPr>
          <w:rFonts w:ascii="华文楷体" w:eastAsia="华文楷体" w:hAnsi="华文楷体" w:cs="Times New Roman"/>
          <w:b/>
          <w:sz w:val="28"/>
          <w:szCs w:val="28"/>
        </w:rPr>
        <w:t xml:space="preserve"> 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高清</w:t>
      </w:r>
    </w:p>
    <w:p w:rsidR="000B2449" w:rsidRPr="008B68D0" w:rsidRDefault="000B2449" w:rsidP="000B2449">
      <w:pPr>
        <w:spacing w:line="500" w:lineRule="exact"/>
        <w:ind w:firstLine="570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格式：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MP4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；</w:t>
      </w:r>
    </w:p>
    <w:p w:rsidR="000B2449" w:rsidRPr="008B68D0" w:rsidRDefault="000B2449" w:rsidP="000B2449">
      <w:pPr>
        <w:spacing w:line="500" w:lineRule="exact"/>
        <w:ind w:firstLine="570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分辨率：1920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X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1080；</w:t>
      </w:r>
    </w:p>
    <w:p w:rsidR="000B2449" w:rsidRPr="008B68D0" w:rsidRDefault="000B2449" w:rsidP="000B2449">
      <w:pPr>
        <w:spacing w:line="500" w:lineRule="exact"/>
        <w:ind w:firstLine="570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帧速率：≥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25fps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；</w:t>
      </w:r>
    </w:p>
    <w:p w:rsidR="000B2449" w:rsidRPr="008B68D0" w:rsidRDefault="000B2449" w:rsidP="000B2449">
      <w:pPr>
        <w:spacing w:line="500" w:lineRule="exact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 xml:space="preserve">    码率（视频编码）：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H.264/AVC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≥3000k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bps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；</w:t>
      </w:r>
    </w:p>
    <w:p w:rsidR="000B2449" w:rsidRPr="008B68D0" w:rsidRDefault="000B2449" w:rsidP="000B2449">
      <w:pPr>
        <w:spacing w:line="500" w:lineRule="exact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 xml:space="preserve">    码率（音频编码）：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AAC(MPEG4 Part3)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≥256k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bps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；</w:t>
      </w:r>
    </w:p>
    <w:p w:rsidR="000B2449" w:rsidRPr="008B68D0" w:rsidRDefault="000B2449" w:rsidP="000B2449">
      <w:pPr>
        <w:spacing w:line="500" w:lineRule="exact"/>
        <w:ind w:firstLine="570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采样率：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48KHz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；</w:t>
      </w:r>
    </w:p>
    <w:p w:rsidR="000B2449" w:rsidRPr="008B68D0" w:rsidRDefault="000B2449" w:rsidP="000B2449">
      <w:pPr>
        <w:spacing w:line="500" w:lineRule="exact"/>
        <w:ind w:firstLine="570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声道：立体声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2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声道，做混音处理。</w:t>
      </w:r>
    </w:p>
    <w:p w:rsidR="000B2449" w:rsidRPr="008B68D0" w:rsidRDefault="000B2449" w:rsidP="000B2449">
      <w:pPr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3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.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 xml:space="preserve">附图  （课件样列） </w:t>
      </w:r>
    </w:p>
    <w:p w:rsidR="000B2449" w:rsidRDefault="000B2449" w:rsidP="000B2449">
      <w:r w:rsidRPr="006343D4">
        <w:rPr>
          <w:noProof/>
        </w:rPr>
        <w:lastRenderedPageBreak/>
        <w:drawing>
          <wp:inline distT="0" distB="0" distL="0" distR="0" wp14:anchorId="161B48E7" wp14:editId="2FC8866F">
            <wp:extent cx="5274310" cy="3499485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1D5" w:rsidRDefault="00A751D5"/>
    <w:sectPr w:rsidR="00A751D5" w:rsidSect="009D5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9"/>
    <w:rsid w:val="000B2449"/>
    <w:rsid w:val="00A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6DDA"/>
  <w15:chartTrackingRefBased/>
  <w15:docId w15:val="{B01CEFCC-8ECB-4828-80E7-9E82E67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1</cp:revision>
  <dcterms:created xsi:type="dcterms:W3CDTF">2020-12-22T03:37:00Z</dcterms:created>
  <dcterms:modified xsi:type="dcterms:W3CDTF">2020-12-22T03:38:00Z</dcterms:modified>
</cp:coreProperties>
</file>